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E193" w14:textId="77777777" w:rsidR="00145A41" w:rsidRPr="00145A41" w:rsidRDefault="00145A41" w:rsidP="00145A41">
      <w:pPr>
        <w:rPr>
          <w:rFonts w:asciiTheme="majorHAnsi" w:hAnsiTheme="majorHAnsi" w:cstheme="majorHAnsi"/>
          <w:sz w:val="20"/>
          <w:szCs w:val="20"/>
        </w:rPr>
      </w:pPr>
    </w:p>
    <w:p w14:paraId="0FA872DC" w14:textId="5B0C9B2B" w:rsidR="00145A41" w:rsidRPr="00145A41" w:rsidRDefault="00145A41" w:rsidP="00145A41">
      <w:pPr>
        <w:rPr>
          <w:rFonts w:asciiTheme="majorHAnsi" w:hAnsiTheme="majorHAnsi" w:cstheme="majorHAnsi"/>
          <w:sz w:val="32"/>
          <w:szCs w:val="32"/>
        </w:rPr>
      </w:pPr>
      <w:r w:rsidRPr="00145A41">
        <w:rPr>
          <w:rFonts w:asciiTheme="majorHAnsi" w:hAnsiTheme="majorHAnsi" w:cstheme="majorHAnsi"/>
          <w:b/>
          <w:bCs/>
          <w:color w:val="4472C4" w:themeColor="accent1"/>
          <w:sz w:val="32"/>
          <w:szCs w:val="32"/>
        </w:rPr>
        <w:t>TERRINGTON ST CLEMENT</w:t>
      </w:r>
      <w:r w:rsidRPr="00145A41">
        <w:rPr>
          <w:rFonts w:asciiTheme="majorHAnsi" w:hAnsiTheme="majorHAnsi" w:cstheme="majorHAnsi"/>
          <w:b/>
          <w:bCs/>
          <w:color w:val="4472C4" w:themeColor="accent1"/>
          <w:sz w:val="32"/>
          <w:szCs w:val="32"/>
        </w:rPr>
        <w:t xml:space="preserve"> PARISH COUNCIL </w:t>
      </w:r>
    </w:p>
    <w:p w14:paraId="4C4B2D13" w14:textId="77777777" w:rsidR="00145A41" w:rsidRPr="00145A41" w:rsidRDefault="00145A41" w:rsidP="00145A41">
      <w:pPr>
        <w:rPr>
          <w:rFonts w:asciiTheme="majorHAnsi" w:hAnsiTheme="majorHAnsi" w:cstheme="majorHAnsi"/>
          <w:sz w:val="24"/>
          <w:szCs w:val="24"/>
        </w:rPr>
      </w:pPr>
      <w:r w:rsidRPr="00145A41">
        <w:rPr>
          <w:rFonts w:asciiTheme="majorHAnsi" w:hAnsiTheme="majorHAnsi" w:cstheme="majorHAnsi"/>
          <w:b/>
          <w:bCs/>
          <w:sz w:val="24"/>
          <w:szCs w:val="24"/>
        </w:rPr>
        <w:t xml:space="preserve">Risk assessment is a systematic general examination of working conditions, workplace activities and environmental factors that will enable the Parish Council to identify any and all potential inherent risks. The Parish Council, based on a recorded assessment, will take all practical and necessary steps to reduce or eliminate the risks, insofar as is practically possible. </w:t>
      </w:r>
    </w:p>
    <w:p w14:paraId="7B0D12DB" w14:textId="6D288E2E" w:rsidR="00145A41" w:rsidRPr="00145A41" w:rsidRDefault="00145A41" w:rsidP="00145A41">
      <w:pPr>
        <w:rPr>
          <w:rFonts w:asciiTheme="majorHAnsi" w:hAnsiTheme="majorHAnsi" w:cstheme="majorHAnsi"/>
          <w:sz w:val="24"/>
          <w:szCs w:val="24"/>
        </w:rPr>
      </w:pPr>
      <w:r w:rsidRPr="00145A41">
        <w:rPr>
          <w:rFonts w:asciiTheme="majorHAnsi" w:hAnsiTheme="majorHAnsi" w:cstheme="majorHAnsi"/>
          <w:b/>
          <w:bCs/>
          <w:sz w:val="24"/>
          <w:szCs w:val="24"/>
        </w:rPr>
        <w:t xml:space="preserve">This document has been produced to enable </w:t>
      </w:r>
      <w:r w:rsidRPr="00145A41">
        <w:rPr>
          <w:rFonts w:asciiTheme="majorHAnsi" w:hAnsiTheme="majorHAnsi" w:cstheme="majorHAnsi"/>
          <w:b/>
          <w:bCs/>
          <w:sz w:val="24"/>
          <w:szCs w:val="24"/>
        </w:rPr>
        <w:t>Terrington St Clement</w:t>
      </w:r>
      <w:r w:rsidRPr="00145A41">
        <w:rPr>
          <w:rFonts w:asciiTheme="majorHAnsi" w:hAnsiTheme="majorHAnsi" w:cstheme="majorHAnsi"/>
          <w:b/>
          <w:bCs/>
          <w:sz w:val="24"/>
          <w:szCs w:val="24"/>
        </w:rPr>
        <w:t xml:space="preserve"> Parish Council to assess the risks that it faces and satisfy itself that it has taken adequate steps to minimise them. </w:t>
      </w:r>
    </w:p>
    <w:tbl>
      <w:tblPr>
        <w:tblW w:w="1436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774"/>
        <w:gridCol w:w="2774"/>
        <w:gridCol w:w="2774"/>
        <w:gridCol w:w="3268"/>
        <w:gridCol w:w="2774"/>
      </w:tblGrid>
      <w:tr w:rsidR="00145A41" w:rsidRPr="00145A41" w14:paraId="7EADB3D7" w14:textId="77777777" w:rsidTr="00145A41">
        <w:tblPrEx>
          <w:tblCellMar>
            <w:top w:w="0" w:type="dxa"/>
            <w:bottom w:w="0" w:type="dxa"/>
          </w:tblCellMar>
        </w:tblPrEx>
        <w:trPr>
          <w:trHeight w:val="90"/>
        </w:trPr>
        <w:tc>
          <w:tcPr>
            <w:tcW w:w="2774" w:type="dxa"/>
            <w:tcBorders>
              <w:top w:val="none" w:sz="6" w:space="0" w:color="auto"/>
              <w:bottom w:val="none" w:sz="6" w:space="0" w:color="auto"/>
              <w:right w:val="none" w:sz="6" w:space="0" w:color="auto"/>
            </w:tcBorders>
          </w:tcPr>
          <w:p w14:paraId="3F995D69" w14:textId="5FD0EE6A" w:rsidR="00145A41" w:rsidRPr="00145A41" w:rsidRDefault="00145A41" w:rsidP="00145A41">
            <w:pPr>
              <w:rPr>
                <w:rFonts w:asciiTheme="majorHAnsi" w:hAnsiTheme="majorHAnsi" w:cstheme="majorHAnsi"/>
                <w:color w:val="4472C4" w:themeColor="accent1"/>
                <w:sz w:val="24"/>
                <w:szCs w:val="24"/>
              </w:rPr>
            </w:pPr>
            <w:r>
              <w:rPr>
                <w:rFonts w:asciiTheme="majorHAnsi" w:hAnsiTheme="majorHAnsi" w:cstheme="majorHAnsi"/>
                <w:b/>
                <w:bCs/>
                <w:color w:val="4472C4" w:themeColor="accent1"/>
                <w:sz w:val="24"/>
                <w:szCs w:val="24"/>
              </w:rPr>
              <w:t>Fi</w:t>
            </w:r>
            <w:r w:rsidRPr="00145A41">
              <w:rPr>
                <w:rFonts w:asciiTheme="majorHAnsi" w:hAnsiTheme="majorHAnsi" w:cstheme="majorHAnsi"/>
                <w:b/>
                <w:bCs/>
                <w:color w:val="4472C4" w:themeColor="accent1"/>
                <w:sz w:val="24"/>
                <w:szCs w:val="24"/>
              </w:rPr>
              <w:t xml:space="preserve">nancial and </w:t>
            </w:r>
            <w:r>
              <w:rPr>
                <w:rFonts w:asciiTheme="majorHAnsi" w:hAnsiTheme="majorHAnsi" w:cstheme="majorHAnsi"/>
                <w:b/>
                <w:bCs/>
                <w:color w:val="4472C4" w:themeColor="accent1"/>
                <w:sz w:val="24"/>
                <w:szCs w:val="24"/>
              </w:rPr>
              <w:t>M</w:t>
            </w:r>
            <w:r w:rsidRPr="00145A41">
              <w:rPr>
                <w:rFonts w:asciiTheme="majorHAnsi" w:hAnsiTheme="majorHAnsi" w:cstheme="majorHAnsi"/>
                <w:b/>
                <w:bCs/>
                <w:color w:val="4472C4" w:themeColor="accent1"/>
                <w:sz w:val="24"/>
                <w:szCs w:val="24"/>
              </w:rPr>
              <w:t xml:space="preserve">anagement </w:t>
            </w:r>
            <w:r>
              <w:rPr>
                <w:rFonts w:asciiTheme="majorHAnsi" w:hAnsiTheme="majorHAnsi" w:cstheme="majorHAnsi"/>
                <w:b/>
                <w:bCs/>
                <w:color w:val="4472C4" w:themeColor="accent1"/>
                <w:sz w:val="24"/>
                <w:szCs w:val="24"/>
              </w:rPr>
              <w:t>S</w:t>
            </w:r>
            <w:r w:rsidRPr="00145A41">
              <w:rPr>
                <w:rFonts w:asciiTheme="majorHAnsi" w:hAnsiTheme="majorHAnsi" w:cstheme="majorHAnsi"/>
                <w:b/>
                <w:bCs/>
                <w:color w:val="4472C4" w:themeColor="accent1"/>
                <w:sz w:val="24"/>
                <w:szCs w:val="24"/>
              </w:rPr>
              <w:t xml:space="preserve">ubject </w:t>
            </w:r>
          </w:p>
        </w:tc>
        <w:tc>
          <w:tcPr>
            <w:tcW w:w="2774" w:type="dxa"/>
            <w:tcBorders>
              <w:top w:val="none" w:sz="6" w:space="0" w:color="auto"/>
              <w:left w:val="none" w:sz="6" w:space="0" w:color="auto"/>
              <w:bottom w:val="none" w:sz="6" w:space="0" w:color="auto"/>
              <w:right w:val="none" w:sz="6" w:space="0" w:color="auto"/>
            </w:tcBorders>
          </w:tcPr>
          <w:p w14:paraId="79A156BD" w14:textId="0A185011"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Risk(s) </w:t>
            </w:r>
            <w:proofErr w:type="spellStart"/>
            <w:r>
              <w:rPr>
                <w:rFonts w:asciiTheme="majorHAnsi" w:hAnsiTheme="majorHAnsi" w:cstheme="majorHAnsi"/>
                <w:b/>
                <w:bCs/>
                <w:color w:val="4472C4" w:themeColor="accent1"/>
                <w:sz w:val="24"/>
                <w:szCs w:val="24"/>
              </w:rPr>
              <w:t>I</w:t>
            </w:r>
            <w:r w:rsidRPr="00145A41">
              <w:rPr>
                <w:rFonts w:asciiTheme="majorHAnsi" w:hAnsiTheme="majorHAnsi" w:cstheme="majorHAnsi"/>
                <w:b/>
                <w:bCs/>
                <w:color w:val="4472C4" w:themeColor="accent1"/>
                <w:sz w:val="24"/>
                <w:szCs w:val="24"/>
              </w:rPr>
              <w:t>ndentified</w:t>
            </w:r>
            <w:proofErr w:type="spellEnd"/>
            <w:r w:rsidRPr="00145A41">
              <w:rPr>
                <w:rFonts w:asciiTheme="majorHAnsi" w:hAnsiTheme="majorHAnsi" w:cstheme="majorHAnsi"/>
                <w:b/>
                <w:bCs/>
                <w:color w:val="4472C4" w:themeColor="accent1"/>
                <w:sz w:val="24"/>
                <w:szCs w:val="24"/>
              </w:rPr>
              <w:t xml:space="preserve"> </w:t>
            </w:r>
          </w:p>
        </w:tc>
        <w:tc>
          <w:tcPr>
            <w:tcW w:w="2774" w:type="dxa"/>
            <w:tcBorders>
              <w:top w:val="none" w:sz="6" w:space="0" w:color="auto"/>
              <w:left w:val="none" w:sz="6" w:space="0" w:color="auto"/>
              <w:bottom w:val="none" w:sz="6" w:space="0" w:color="auto"/>
              <w:right w:val="none" w:sz="6" w:space="0" w:color="auto"/>
            </w:tcBorders>
          </w:tcPr>
          <w:p w14:paraId="3D898972"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H/M/L </w:t>
            </w:r>
          </w:p>
        </w:tc>
        <w:tc>
          <w:tcPr>
            <w:tcW w:w="3268" w:type="dxa"/>
            <w:tcBorders>
              <w:top w:val="none" w:sz="6" w:space="0" w:color="auto"/>
              <w:left w:val="none" w:sz="6" w:space="0" w:color="auto"/>
              <w:bottom w:val="none" w:sz="6" w:space="0" w:color="auto"/>
              <w:right w:val="none" w:sz="6" w:space="0" w:color="auto"/>
            </w:tcBorders>
          </w:tcPr>
          <w:p w14:paraId="606AACC2" w14:textId="464FE533"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Management/</w:t>
            </w:r>
            <w:r>
              <w:rPr>
                <w:rFonts w:asciiTheme="majorHAnsi" w:hAnsiTheme="majorHAnsi" w:cstheme="majorHAnsi"/>
                <w:b/>
                <w:bCs/>
                <w:color w:val="4472C4" w:themeColor="accent1"/>
                <w:sz w:val="24"/>
                <w:szCs w:val="24"/>
              </w:rPr>
              <w:t>C</w:t>
            </w:r>
            <w:r w:rsidRPr="00145A41">
              <w:rPr>
                <w:rFonts w:asciiTheme="majorHAnsi" w:hAnsiTheme="majorHAnsi" w:cstheme="majorHAnsi"/>
                <w:b/>
                <w:bCs/>
                <w:color w:val="4472C4" w:themeColor="accent1"/>
                <w:sz w:val="24"/>
                <w:szCs w:val="24"/>
              </w:rPr>
              <w:t xml:space="preserve">ontrol of Risk </w:t>
            </w:r>
          </w:p>
        </w:tc>
        <w:tc>
          <w:tcPr>
            <w:tcW w:w="2774" w:type="dxa"/>
            <w:tcBorders>
              <w:top w:val="none" w:sz="6" w:space="0" w:color="auto"/>
              <w:left w:val="none" w:sz="6" w:space="0" w:color="auto"/>
              <w:bottom w:val="none" w:sz="6" w:space="0" w:color="auto"/>
            </w:tcBorders>
          </w:tcPr>
          <w:p w14:paraId="77728037"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Review/Assess/Revise </w:t>
            </w:r>
          </w:p>
        </w:tc>
      </w:tr>
      <w:tr w:rsidR="00145A41" w:rsidRPr="00145A41" w14:paraId="47691402" w14:textId="77777777" w:rsidTr="00145A41">
        <w:tblPrEx>
          <w:tblCellMar>
            <w:top w:w="0" w:type="dxa"/>
            <w:bottom w:w="0" w:type="dxa"/>
          </w:tblCellMar>
        </w:tblPrEx>
        <w:trPr>
          <w:trHeight w:val="860"/>
        </w:trPr>
        <w:tc>
          <w:tcPr>
            <w:tcW w:w="2774" w:type="dxa"/>
            <w:tcBorders>
              <w:top w:val="none" w:sz="6" w:space="0" w:color="auto"/>
              <w:bottom w:val="none" w:sz="6" w:space="0" w:color="auto"/>
              <w:right w:val="none" w:sz="6" w:space="0" w:color="auto"/>
            </w:tcBorders>
          </w:tcPr>
          <w:p w14:paraId="68D934AA"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Precept </w:t>
            </w:r>
          </w:p>
        </w:tc>
        <w:tc>
          <w:tcPr>
            <w:tcW w:w="2774" w:type="dxa"/>
            <w:tcBorders>
              <w:top w:val="none" w:sz="6" w:space="0" w:color="auto"/>
              <w:left w:val="none" w:sz="6" w:space="0" w:color="auto"/>
              <w:bottom w:val="none" w:sz="6" w:space="0" w:color="auto"/>
              <w:right w:val="none" w:sz="6" w:space="0" w:color="auto"/>
            </w:tcBorders>
          </w:tcPr>
          <w:p w14:paraId="2809B84D" w14:textId="0218BD02"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Adequacy of precept in order for the Council to carry out its Statutory duties </w:t>
            </w:r>
          </w:p>
        </w:tc>
        <w:tc>
          <w:tcPr>
            <w:tcW w:w="2774" w:type="dxa"/>
            <w:tcBorders>
              <w:top w:val="none" w:sz="6" w:space="0" w:color="auto"/>
              <w:left w:val="none" w:sz="6" w:space="0" w:color="auto"/>
              <w:bottom w:val="none" w:sz="6" w:space="0" w:color="auto"/>
              <w:right w:val="none" w:sz="6" w:space="0" w:color="auto"/>
            </w:tcBorders>
          </w:tcPr>
          <w:p w14:paraId="17F01D3E"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719EA0FF"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To determine the precept amount required, the Council regularly receives budget update information monthly. At the precept meeting Council receives a budget report, including actual position and projected position to the end of year and indicative figures or costings obtained by the Clerk. With this information the Council maps out the required monies for standing costs and projects for the following year and applies specific figures to budget headings, the total of which is resolved to be the precept amount to be requested from South Holland District Council. The figure is submitted by the Clerk in writing. The </w:t>
            </w:r>
            <w:r w:rsidRPr="00145A41">
              <w:rPr>
                <w:rFonts w:asciiTheme="majorHAnsi" w:hAnsiTheme="majorHAnsi" w:cstheme="majorHAnsi"/>
                <w:sz w:val="20"/>
                <w:szCs w:val="20"/>
              </w:rPr>
              <w:lastRenderedPageBreak/>
              <w:t xml:space="preserve">Clerk informs the Council when the monies are received. </w:t>
            </w:r>
          </w:p>
        </w:tc>
        <w:tc>
          <w:tcPr>
            <w:tcW w:w="2774" w:type="dxa"/>
            <w:tcBorders>
              <w:top w:val="none" w:sz="6" w:space="0" w:color="auto"/>
              <w:left w:val="none" w:sz="6" w:space="0" w:color="auto"/>
              <w:bottom w:val="none" w:sz="6" w:space="0" w:color="auto"/>
            </w:tcBorders>
          </w:tcPr>
          <w:p w14:paraId="6D934FCB"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lastRenderedPageBreak/>
              <w:t xml:space="preserve">Existing procedure adequate. </w:t>
            </w:r>
          </w:p>
        </w:tc>
      </w:tr>
      <w:tr w:rsidR="00145A41" w:rsidRPr="00145A41" w14:paraId="09EC44A0" w14:textId="77777777" w:rsidTr="00145A41">
        <w:tblPrEx>
          <w:tblCellMar>
            <w:top w:w="0" w:type="dxa"/>
            <w:bottom w:w="0" w:type="dxa"/>
          </w:tblCellMar>
        </w:tblPrEx>
        <w:trPr>
          <w:trHeight w:val="310"/>
        </w:trPr>
        <w:tc>
          <w:tcPr>
            <w:tcW w:w="2774" w:type="dxa"/>
            <w:tcBorders>
              <w:top w:val="none" w:sz="6" w:space="0" w:color="auto"/>
              <w:bottom w:val="none" w:sz="6" w:space="0" w:color="auto"/>
              <w:right w:val="none" w:sz="6" w:space="0" w:color="auto"/>
            </w:tcBorders>
          </w:tcPr>
          <w:p w14:paraId="253174E8"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Financial </w:t>
            </w:r>
          </w:p>
          <w:p w14:paraId="755EBC7F"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Records </w:t>
            </w:r>
          </w:p>
        </w:tc>
        <w:tc>
          <w:tcPr>
            <w:tcW w:w="2774" w:type="dxa"/>
            <w:tcBorders>
              <w:top w:val="none" w:sz="6" w:space="0" w:color="auto"/>
              <w:left w:val="none" w:sz="6" w:space="0" w:color="auto"/>
              <w:bottom w:val="none" w:sz="6" w:space="0" w:color="auto"/>
              <w:right w:val="none" w:sz="6" w:space="0" w:color="auto"/>
            </w:tcBorders>
          </w:tcPr>
          <w:p w14:paraId="4E725AA2"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Inadequate records </w:t>
            </w:r>
          </w:p>
          <w:p w14:paraId="140BD47E"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Financial irregularities </w:t>
            </w:r>
          </w:p>
        </w:tc>
        <w:tc>
          <w:tcPr>
            <w:tcW w:w="2774" w:type="dxa"/>
            <w:tcBorders>
              <w:top w:val="none" w:sz="6" w:space="0" w:color="auto"/>
              <w:left w:val="none" w:sz="6" w:space="0" w:color="auto"/>
              <w:bottom w:val="none" w:sz="6" w:space="0" w:color="auto"/>
              <w:right w:val="none" w:sz="6" w:space="0" w:color="auto"/>
            </w:tcBorders>
          </w:tcPr>
          <w:p w14:paraId="24E39EDF"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4B529439"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The Council has Financial Regulations which sets out the requirements. </w:t>
            </w:r>
          </w:p>
        </w:tc>
        <w:tc>
          <w:tcPr>
            <w:tcW w:w="2774" w:type="dxa"/>
            <w:tcBorders>
              <w:top w:val="none" w:sz="6" w:space="0" w:color="auto"/>
              <w:left w:val="none" w:sz="6" w:space="0" w:color="auto"/>
              <w:bottom w:val="none" w:sz="6" w:space="0" w:color="auto"/>
            </w:tcBorders>
          </w:tcPr>
          <w:p w14:paraId="3A0D25ED"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p w14:paraId="2574B90F"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Review the Financial regulations when necessary </w:t>
            </w:r>
          </w:p>
        </w:tc>
      </w:tr>
      <w:tr w:rsidR="00145A41" w:rsidRPr="00145A41" w14:paraId="6EBC5148" w14:textId="77777777" w:rsidTr="00145A41">
        <w:tblPrEx>
          <w:tblCellMar>
            <w:top w:w="0" w:type="dxa"/>
            <w:bottom w:w="0" w:type="dxa"/>
          </w:tblCellMar>
        </w:tblPrEx>
        <w:trPr>
          <w:trHeight w:val="308"/>
        </w:trPr>
        <w:tc>
          <w:tcPr>
            <w:tcW w:w="2774" w:type="dxa"/>
            <w:tcBorders>
              <w:top w:val="none" w:sz="6" w:space="0" w:color="auto"/>
              <w:bottom w:val="none" w:sz="6" w:space="0" w:color="auto"/>
              <w:right w:val="none" w:sz="6" w:space="0" w:color="auto"/>
            </w:tcBorders>
          </w:tcPr>
          <w:p w14:paraId="48116F3D"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Bank and banking </w:t>
            </w:r>
          </w:p>
        </w:tc>
        <w:tc>
          <w:tcPr>
            <w:tcW w:w="2774" w:type="dxa"/>
            <w:tcBorders>
              <w:top w:val="none" w:sz="6" w:space="0" w:color="auto"/>
              <w:left w:val="none" w:sz="6" w:space="0" w:color="auto"/>
              <w:bottom w:val="none" w:sz="6" w:space="0" w:color="auto"/>
              <w:right w:val="none" w:sz="6" w:space="0" w:color="auto"/>
            </w:tcBorders>
          </w:tcPr>
          <w:p w14:paraId="5FE54B14"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Inadequate checks </w:t>
            </w:r>
          </w:p>
          <w:p w14:paraId="7A7E28E3"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Banks mistakes </w:t>
            </w:r>
          </w:p>
        </w:tc>
        <w:tc>
          <w:tcPr>
            <w:tcW w:w="2774" w:type="dxa"/>
            <w:tcBorders>
              <w:top w:val="none" w:sz="6" w:space="0" w:color="auto"/>
              <w:left w:val="none" w:sz="6" w:space="0" w:color="auto"/>
              <w:bottom w:val="none" w:sz="6" w:space="0" w:color="auto"/>
              <w:right w:val="none" w:sz="6" w:space="0" w:color="auto"/>
            </w:tcBorders>
          </w:tcPr>
          <w:p w14:paraId="54F37883"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p w14:paraId="1B6310BC"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4285B94A"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The Council has Financial Regulations which set out banking requirements </w:t>
            </w:r>
          </w:p>
          <w:p w14:paraId="1F22202E"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Monthly reconciliation </w:t>
            </w:r>
          </w:p>
        </w:tc>
        <w:tc>
          <w:tcPr>
            <w:tcW w:w="2774" w:type="dxa"/>
            <w:tcBorders>
              <w:top w:val="none" w:sz="6" w:space="0" w:color="auto"/>
              <w:left w:val="none" w:sz="6" w:space="0" w:color="auto"/>
              <w:bottom w:val="none" w:sz="6" w:space="0" w:color="auto"/>
            </w:tcBorders>
          </w:tcPr>
          <w:p w14:paraId="7B394572"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p w14:paraId="5F2A2438"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tc>
      </w:tr>
      <w:tr w:rsidR="00145A41" w:rsidRPr="00145A41" w14:paraId="6DB0EBB8" w14:textId="77777777" w:rsidTr="00145A41">
        <w:tblPrEx>
          <w:tblCellMar>
            <w:top w:w="0" w:type="dxa"/>
            <w:bottom w:w="0" w:type="dxa"/>
          </w:tblCellMar>
        </w:tblPrEx>
        <w:trPr>
          <w:trHeight w:val="200"/>
        </w:trPr>
        <w:tc>
          <w:tcPr>
            <w:tcW w:w="2774" w:type="dxa"/>
            <w:tcBorders>
              <w:top w:val="none" w:sz="6" w:space="0" w:color="auto"/>
              <w:bottom w:val="none" w:sz="6" w:space="0" w:color="auto"/>
              <w:right w:val="none" w:sz="6" w:space="0" w:color="auto"/>
            </w:tcBorders>
          </w:tcPr>
          <w:p w14:paraId="4987284C"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Reporting and auditing </w:t>
            </w:r>
          </w:p>
        </w:tc>
        <w:tc>
          <w:tcPr>
            <w:tcW w:w="2774" w:type="dxa"/>
            <w:tcBorders>
              <w:top w:val="none" w:sz="6" w:space="0" w:color="auto"/>
              <w:left w:val="none" w:sz="6" w:space="0" w:color="auto"/>
              <w:bottom w:val="none" w:sz="6" w:space="0" w:color="auto"/>
              <w:right w:val="none" w:sz="6" w:space="0" w:color="auto"/>
            </w:tcBorders>
          </w:tcPr>
          <w:p w14:paraId="6121D03D"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Information communication </w:t>
            </w:r>
          </w:p>
        </w:tc>
        <w:tc>
          <w:tcPr>
            <w:tcW w:w="2774" w:type="dxa"/>
            <w:tcBorders>
              <w:top w:val="none" w:sz="6" w:space="0" w:color="auto"/>
              <w:left w:val="none" w:sz="6" w:space="0" w:color="auto"/>
              <w:bottom w:val="none" w:sz="6" w:space="0" w:color="auto"/>
              <w:right w:val="none" w:sz="6" w:space="0" w:color="auto"/>
            </w:tcBorders>
          </w:tcPr>
          <w:p w14:paraId="693E8BD3"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1F870B6D"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Financial information is a regular agenda item (Finance Report) and discussed/reviewed and approved at each meeting. </w:t>
            </w:r>
          </w:p>
        </w:tc>
        <w:tc>
          <w:tcPr>
            <w:tcW w:w="2774" w:type="dxa"/>
            <w:tcBorders>
              <w:top w:val="none" w:sz="6" w:space="0" w:color="auto"/>
              <w:left w:val="none" w:sz="6" w:space="0" w:color="auto"/>
              <w:bottom w:val="none" w:sz="6" w:space="0" w:color="auto"/>
            </w:tcBorders>
          </w:tcPr>
          <w:p w14:paraId="1ACE0C0C"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procedures adequate. </w:t>
            </w:r>
          </w:p>
        </w:tc>
      </w:tr>
      <w:tr w:rsidR="00145A41" w:rsidRPr="00145A41" w14:paraId="4D552FA0" w14:textId="77777777" w:rsidTr="00145A41">
        <w:tblPrEx>
          <w:tblCellMar>
            <w:top w:w="0" w:type="dxa"/>
            <w:bottom w:w="0" w:type="dxa"/>
          </w:tblCellMar>
        </w:tblPrEx>
        <w:trPr>
          <w:trHeight w:val="200"/>
        </w:trPr>
        <w:tc>
          <w:tcPr>
            <w:tcW w:w="2774" w:type="dxa"/>
            <w:tcBorders>
              <w:top w:val="none" w:sz="6" w:space="0" w:color="auto"/>
              <w:bottom w:val="none" w:sz="6" w:space="0" w:color="auto"/>
              <w:right w:val="none" w:sz="6" w:space="0" w:color="auto"/>
            </w:tcBorders>
          </w:tcPr>
          <w:p w14:paraId="374FD6FF"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Grants </w:t>
            </w:r>
          </w:p>
        </w:tc>
        <w:tc>
          <w:tcPr>
            <w:tcW w:w="2774" w:type="dxa"/>
            <w:tcBorders>
              <w:top w:val="none" w:sz="6" w:space="0" w:color="auto"/>
              <w:left w:val="none" w:sz="6" w:space="0" w:color="auto"/>
              <w:bottom w:val="none" w:sz="6" w:space="0" w:color="auto"/>
              <w:right w:val="none" w:sz="6" w:space="0" w:color="auto"/>
            </w:tcBorders>
          </w:tcPr>
          <w:p w14:paraId="0CF7D6DF"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Receipt of grant </w:t>
            </w:r>
          </w:p>
        </w:tc>
        <w:tc>
          <w:tcPr>
            <w:tcW w:w="2774" w:type="dxa"/>
            <w:tcBorders>
              <w:top w:val="none" w:sz="6" w:space="0" w:color="auto"/>
              <w:left w:val="none" w:sz="6" w:space="0" w:color="auto"/>
              <w:bottom w:val="none" w:sz="6" w:space="0" w:color="auto"/>
              <w:right w:val="none" w:sz="6" w:space="0" w:color="auto"/>
            </w:tcBorders>
          </w:tcPr>
          <w:p w14:paraId="1AFAE183"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25AA106B"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Parish Council does not presently receive any regular grants. </w:t>
            </w:r>
          </w:p>
        </w:tc>
        <w:tc>
          <w:tcPr>
            <w:tcW w:w="2774" w:type="dxa"/>
            <w:tcBorders>
              <w:top w:val="none" w:sz="6" w:space="0" w:color="auto"/>
              <w:left w:val="none" w:sz="6" w:space="0" w:color="auto"/>
              <w:bottom w:val="none" w:sz="6" w:space="0" w:color="auto"/>
            </w:tcBorders>
          </w:tcPr>
          <w:p w14:paraId="0844AAB2"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Procedure would be formed, if required </w:t>
            </w:r>
          </w:p>
        </w:tc>
      </w:tr>
      <w:tr w:rsidR="00145A41" w:rsidRPr="00145A41" w14:paraId="5C2BC507" w14:textId="77777777" w:rsidTr="00145A41">
        <w:tblPrEx>
          <w:tblCellMar>
            <w:top w:w="0" w:type="dxa"/>
            <w:bottom w:w="0" w:type="dxa"/>
          </w:tblCellMar>
        </w:tblPrEx>
        <w:trPr>
          <w:trHeight w:val="200"/>
        </w:trPr>
        <w:tc>
          <w:tcPr>
            <w:tcW w:w="2774" w:type="dxa"/>
            <w:tcBorders>
              <w:top w:val="none" w:sz="6" w:space="0" w:color="auto"/>
              <w:bottom w:val="none" w:sz="6" w:space="0" w:color="auto"/>
              <w:right w:val="none" w:sz="6" w:space="0" w:color="auto"/>
            </w:tcBorders>
          </w:tcPr>
          <w:p w14:paraId="5810F978"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Charges-rents receivable </w:t>
            </w:r>
          </w:p>
        </w:tc>
        <w:tc>
          <w:tcPr>
            <w:tcW w:w="2774" w:type="dxa"/>
            <w:tcBorders>
              <w:top w:val="none" w:sz="6" w:space="0" w:color="auto"/>
              <w:left w:val="none" w:sz="6" w:space="0" w:color="auto"/>
              <w:bottom w:val="none" w:sz="6" w:space="0" w:color="auto"/>
              <w:right w:val="none" w:sz="6" w:space="0" w:color="auto"/>
            </w:tcBorders>
          </w:tcPr>
          <w:p w14:paraId="1E3F6376"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Payment of rents </w:t>
            </w:r>
          </w:p>
        </w:tc>
        <w:tc>
          <w:tcPr>
            <w:tcW w:w="2774" w:type="dxa"/>
            <w:tcBorders>
              <w:top w:val="none" w:sz="6" w:space="0" w:color="auto"/>
              <w:left w:val="none" w:sz="6" w:space="0" w:color="auto"/>
              <w:bottom w:val="none" w:sz="6" w:space="0" w:color="auto"/>
              <w:right w:val="none" w:sz="6" w:space="0" w:color="auto"/>
            </w:tcBorders>
          </w:tcPr>
          <w:p w14:paraId="00D76ACE"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63291881"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The Parish Council collects Allotment rents in October each year. Allotment holders have signed agreements and rent income reviewed every two years. </w:t>
            </w:r>
          </w:p>
        </w:tc>
        <w:tc>
          <w:tcPr>
            <w:tcW w:w="2774" w:type="dxa"/>
            <w:tcBorders>
              <w:top w:val="none" w:sz="6" w:space="0" w:color="auto"/>
              <w:left w:val="none" w:sz="6" w:space="0" w:color="auto"/>
              <w:bottom w:val="none" w:sz="6" w:space="0" w:color="auto"/>
            </w:tcBorders>
          </w:tcPr>
          <w:p w14:paraId="3A9E0B7E"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tc>
      </w:tr>
      <w:tr w:rsidR="00145A41" w:rsidRPr="00145A41" w14:paraId="1D22B378" w14:textId="77777777" w:rsidTr="00145A41">
        <w:tblPrEx>
          <w:tblCellMar>
            <w:top w:w="0" w:type="dxa"/>
            <w:bottom w:w="0" w:type="dxa"/>
          </w:tblCellMar>
        </w:tblPrEx>
        <w:trPr>
          <w:trHeight w:val="310"/>
        </w:trPr>
        <w:tc>
          <w:tcPr>
            <w:tcW w:w="2774" w:type="dxa"/>
            <w:tcBorders>
              <w:top w:val="none" w:sz="6" w:space="0" w:color="auto"/>
              <w:bottom w:val="none" w:sz="6" w:space="0" w:color="auto"/>
              <w:right w:val="none" w:sz="6" w:space="0" w:color="auto"/>
            </w:tcBorders>
          </w:tcPr>
          <w:p w14:paraId="163278BC"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Grants and support payable </w:t>
            </w:r>
          </w:p>
        </w:tc>
        <w:tc>
          <w:tcPr>
            <w:tcW w:w="2774" w:type="dxa"/>
            <w:tcBorders>
              <w:top w:val="none" w:sz="6" w:space="0" w:color="auto"/>
              <w:left w:val="none" w:sz="6" w:space="0" w:color="auto"/>
              <w:bottom w:val="none" w:sz="6" w:space="0" w:color="auto"/>
              <w:right w:val="none" w:sz="6" w:space="0" w:color="auto"/>
            </w:tcBorders>
          </w:tcPr>
          <w:p w14:paraId="294E79F2"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Power to pay </w:t>
            </w:r>
          </w:p>
          <w:p w14:paraId="42A914DA"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Authorisation of Council to pay </w:t>
            </w:r>
          </w:p>
        </w:tc>
        <w:tc>
          <w:tcPr>
            <w:tcW w:w="2774" w:type="dxa"/>
            <w:tcBorders>
              <w:top w:val="none" w:sz="6" w:space="0" w:color="auto"/>
              <w:left w:val="none" w:sz="6" w:space="0" w:color="auto"/>
              <w:bottom w:val="none" w:sz="6" w:space="0" w:color="auto"/>
              <w:right w:val="none" w:sz="6" w:space="0" w:color="auto"/>
            </w:tcBorders>
          </w:tcPr>
          <w:p w14:paraId="6B91C429"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521F5859"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All such expenditure goes through the required Council process of approval, </w:t>
            </w:r>
            <w:proofErr w:type="spellStart"/>
            <w:r w:rsidRPr="00145A41">
              <w:rPr>
                <w:rFonts w:asciiTheme="majorHAnsi" w:hAnsiTheme="majorHAnsi" w:cstheme="majorHAnsi"/>
                <w:sz w:val="20"/>
                <w:szCs w:val="20"/>
              </w:rPr>
              <w:t>minuted</w:t>
            </w:r>
            <w:proofErr w:type="spellEnd"/>
            <w:r w:rsidRPr="00145A41">
              <w:rPr>
                <w:rFonts w:asciiTheme="majorHAnsi" w:hAnsiTheme="majorHAnsi" w:cstheme="majorHAnsi"/>
                <w:sz w:val="20"/>
                <w:szCs w:val="20"/>
              </w:rPr>
              <w:t xml:space="preserve"> and listed accordingly if a payment is made using S137 powers of expenditure. </w:t>
            </w:r>
          </w:p>
        </w:tc>
        <w:tc>
          <w:tcPr>
            <w:tcW w:w="2774" w:type="dxa"/>
            <w:tcBorders>
              <w:top w:val="none" w:sz="6" w:space="0" w:color="auto"/>
              <w:left w:val="none" w:sz="6" w:space="0" w:color="auto"/>
              <w:bottom w:val="none" w:sz="6" w:space="0" w:color="auto"/>
            </w:tcBorders>
          </w:tcPr>
          <w:p w14:paraId="178D2720"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tc>
      </w:tr>
      <w:tr w:rsidR="00145A41" w:rsidRPr="00145A41" w14:paraId="70D43344" w14:textId="77777777" w:rsidTr="00145A41">
        <w:tblPrEx>
          <w:tblCellMar>
            <w:top w:w="0" w:type="dxa"/>
            <w:bottom w:w="0" w:type="dxa"/>
          </w:tblCellMar>
        </w:tblPrEx>
        <w:trPr>
          <w:trHeight w:val="420"/>
        </w:trPr>
        <w:tc>
          <w:tcPr>
            <w:tcW w:w="2774" w:type="dxa"/>
            <w:tcBorders>
              <w:top w:val="none" w:sz="6" w:space="0" w:color="auto"/>
              <w:bottom w:val="none" w:sz="6" w:space="0" w:color="auto"/>
              <w:right w:val="none" w:sz="6" w:space="0" w:color="auto"/>
            </w:tcBorders>
          </w:tcPr>
          <w:p w14:paraId="574BC8F3"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lastRenderedPageBreak/>
              <w:t xml:space="preserve">Best value accountability </w:t>
            </w:r>
          </w:p>
        </w:tc>
        <w:tc>
          <w:tcPr>
            <w:tcW w:w="2774" w:type="dxa"/>
            <w:tcBorders>
              <w:top w:val="none" w:sz="6" w:space="0" w:color="auto"/>
              <w:left w:val="none" w:sz="6" w:space="0" w:color="auto"/>
              <w:bottom w:val="none" w:sz="6" w:space="0" w:color="auto"/>
              <w:right w:val="none" w:sz="6" w:space="0" w:color="auto"/>
            </w:tcBorders>
          </w:tcPr>
          <w:p w14:paraId="116901A0"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Work awarded </w:t>
            </w:r>
          </w:p>
          <w:p w14:paraId="04700775"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Incorrectly. </w:t>
            </w:r>
          </w:p>
          <w:p w14:paraId="58DACD0C"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Overspend on services. </w:t>
            </w:r>
          </w:p>
        </w:tc>
        <w:tc>
          <w:tcPr>
            <w:tcW w:w="2774" w:type="dxa"/>
            <w:tcBorders>
              <w:top w:val="none" w:sz="6" w:space="0" w:color="auto"/>
              <w:left w:val="none" w:sz="6" w:space="0" w:color="auto"/>
              <w:bottom w:val="none" w:sz="6" w:space="0" w:color="auto"/>
              <w:right w:val="none" w:sz="6" w:space="0" w:color="auto"/>
            </w:tcBorders>
          </w:tcPr>
          <w:p w14:paraId="5CF93261"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p w14:paraId="5F0E9817"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M </w:t>
            </w:r>
          </w:p>
        </w:tc>
        <w:tc>
          <w:tcPr>
            <w:tcW w:w="3268" w:type="dxa"/>
            <w:tcBorders>
              <w:top w:val="none" w:sz="6" w:space="0" w:color="auto"/>
              <w:left w:val="none" w:sz="6" w:space="0" w:color="auto"/>
              <w:bottom w:val="none" w:sz="6" w:space="0" w:color="auto"/>
              <w:right w:val="none" w:sz="6" w:space="0" w:color="auto"/>
            </w:tcBorders>
          </w:tcPr>
          <w:p w14:paraId="4DED96ED"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Normal Parish Council practice would be to seek, if possible, more than one quotation for any substantial work to be undertaken. For major work competitive tenders would be sought. If problems encountered with a contract the Clerk would investigate the situation and report to the Council. </w:t>
            </w:r>
          </w:p>
        </w:tc>
        <w:tc>
          <w:tcPr>
            <w:tcW w:w="2774" w:type="dxa"/>
            <w:tcBorders>
              <w:top w:val="none" w:sz="6" w:space="0" w:color="auto"/>
              <w:left w:val="none" w:sz="6" w:space="0" w:color="auto"/>
              <w:bottom w:val="none" w:sz="6" w:space="0" w:color="auto"/>
            </w:tcBorders>
          </w:tcPr>
          <w:p w14:paraId="2EC3E381"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p w14:paraId="2BFBAACD"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Include when reviewing </w:t>
            </w:r>
            <w:proofErr w:type="gramStart"/>
            <w:r w:rsidRPr="00145A41">
              <w:rPr>
                <w:rFonts w:asciiTheme="majorHAnsi" w:hAnsiTheme="majorHAnsi" w:cstheme="majorHAnsi"/>
                <w:sz w:val="20"/>
                <w:szCs w:val="20"/>
              </w:rPr>
              <w:t>Financial</w:t>
            </w:r>
            <w:proofErr w:type="gramEnd"/>
            <w:r w:rsidRPr="00145A41">
              <w:rPr>
                <w:rFonts w:asciiTheme="majorHAnsi" w:hAnsiTheme="majorHAnsi" w:cstheme="majorHAnsi"/>
                <w:sz w:val="20"/>
                <w:szCs w:val="20"/>
              </w:rPr>
              <w:t xml:space="preserve"> regulations. </w:t>
            </w:r>
          </w:p>
        </w:tc>
      </w:tr>
      <w:tr w:rsidR="00145A41" w:rsidRPr="00145A41" w14:paraId="020B91AE" w14:textId="77777777" w:rsidTr="00145A41">
        <w:tblPrEx>
          <w:tblCellMar>
            <w:top w:w="0" w:type="dxa"/>
            <w:bottom w:w="0" w:type="dxa"/>
          </w:tblCellMar>
        </w:tblPrEx>
        <w:trPr>
          <w:trHeight w:val="310"/>
        </w:trPr>
        <w:tc>
          <w:tcPr>
            <w:tcW w:w="2774" w:type="dxa"/>
            <w:tcBorders>
              <w:top w:val="none" w:sz="6" w:space="0" w:color="auto"/>
              <w:bottom w:val="none" w:sz="6" w:space="0" w:color="auto"/>
              <w:right w:val="none" w:sz="6" w:space="0" w:color="auto"/>
            </w:tcBorders>
          </w:tcPr>
          <w:p w14:paraId="17BFABC5" w14:textId="77777777" w:rsidR="00145A41" w:rsidRPr="00145A41" w:rsidRDefault="00145A41" w:rsidP="00145A41">
            <w:pPr>
              <w:rPr>
                <w:rFonts w:asciiTheme="majorHAnsi" w:hAnsiTheme="majorHAnsi" w:cstheme="majorHAnsi"/>
                <w:color w:val="4472C4" w:themeColor="accent1"/>
                <w:sz w:val="24"/>
                <w:szCs w:val="24"/>
              </w:rPr>
            </w:pPr>
            <w:r w:rsidRPr="00145A41">
              <w:rPr>
                <w:rFonts w:asciiTheme="majorHAnsi" w:hAnsiTheme="majorHAnsi" w:cstheme="majorHAnsi"/>
                <w:b/>
                <w:bCs/>
                <w:color w:val="4472C4" w:themeColor="accent1"/>
                <w:sz w:val="24"/>
                <w:szCs w:val="24"/>
              </w:rPr>
              <w:t xml:space="preserve">Salaries and assoc. costs </w:t>
            </w:r>
          </w:p>
        </w:tc>
        <w:tc>
          <w:tcPr>
            <w:tcW w:w="2774" w:type="dxa"/>
            <w:tcBorders>
              <w:top w:val="none" w:sz="6" w:space="0" w:color="auto"/>
              <w:left w:val="none" w:sz="6" w:space="0" w:color="auto"/>
              <w:bottom w:val="none" w:sz="6" w:space="0" w:color="auto"/>
              <w:right w:val="none" w:sz="6" w:space="0" w:color="auto"/>
            </w:tcBorders>
          </w:tcPr>
          <w:p w14:paraId="2F2D65FB"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Salary paid incorrectly. </w:t>
            </w:r>
          </w:p>
          <w:p w14:paraId="7BAE179C"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Unpaid Tax to Inland Revenue. </w:t>
            </w:r>
          </w:p>
        </w:tc>
        <w:tc>
          <w:tcPr>
            <w:tcW w:w="2774" w:type="dxa"/>
            <w:tcBorders>
              <w:top w:val="none" w:sz="6" w:space="0" w:color="auto"/>
              <w:left w:val="none" w:sz="6" w:space="0" w:color="auto"/>
              <w:bottom w:val="none" w:sz="6" w:space="0" w:color="auto"/>
              <w:right w:val="none" w:sz="6" w:space="0" w:color="auto"/>
            </w:tcBorders>
          </w:tcPr>
          <w:p w14:paraId="60CCBC2C"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L </w:t>
            </w:r>
          </w:p>
        </w:tc>
        <w:tc>
          <w:tcPr>
            <w:tcW w:w="3268" w:type="dxa"/>
            <w:tcBorders>
              <w:top w:val="none" w:sz="6" w:space="0" w:color="auto"/>
              <w:left w:val="none" w:sz="6" w:space="0" w:color="auto"/>
              <w:bottom w:val="none" w:sz="6" w:space="0" w:color="auto"/>
              <w:right w:val="none" w:sz="6" w:space="0" w:color="auto"/>
            </w:tcBorders>
          </w:tcPr>
          <w:p w14:paraId="295BD19B"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Payroll is managed by Bulley Davey and they would make any required adjustments </w:t>
            </w:r>
          </w:p>
        </w:tc>
        <w:tc>
          <w:tcPr>
            <w:tcW w:w="2774" w:type="dxa"/>
            <w:tcBorders>
              <w:top w:val="none" w:sz="6" w:space="0" w:color="auto"/>
              <w:left w:val="none" w:sz="6" w:space="0" w:color="auto"/>
              <w:bottom w:val="none" w:sz="6" w:space="0" w:color="auto"/>
            </w:tcBorders>
          </w:tcPr>
          <w:p w14:paraId="4284F72F" w14:textId="77777777" w:rsidR="00145A41" w:rsidRPr="00145A41" w:rsidRDefault="00145A41" w:rsidP="00145A41">
            <w:pPr>
              <w:rPr>
                <w:rFonts w:asciiTheme="majorHAnsi" w:hAnsiTheme="majorHAnsi" w:cstheme="majorHAnsi"/>
                <w:sz w:val="20"/>
                <w:szCs w:val="20"/>
              </w:rPr>
            </w:pPr>
            <w:r w:rsidRPr="00145A41">
              <w:rPr>
                <w:rFonts w:asciiTheme="majorHAnsi" w:hAnsiTheme="majorHAnsi" w:cstheme="majorHAnsi"/>
                <w:sz w:val="20"/>
                <w:szCs w:val="20"/>
              </w:rPr>
              <w:t xml:space="preserve">Existing procedure adequate </w:t>
            </w:r>
          </w:p>
        </w:tc>
      </w:tr>
    </w:tbl>
    <w:p w14:paraId="303CABAE" w14:textId="619D6C5B" w:rsidR="00711ABF" w:rsidRDefault="00711ABF">
      <w:pPr>
        <w:rPr>
          <w:rFonts w:asciiTheme="majorHAnsi" w:hAnsiTheme="majorHAnsi" w:cstheme="majorHAnsi"/>
          <w:sz w:val="20"/>
          <w:szCs w:val="20"/>
        </w:rPr>
      </w:pPr>
    </w:p>
    <w:p w14:paraId="420FAA94" w14:textId="77777777" w:rsidR="00145A41" w:rsidRDefault="00145A41">
      <w:pPr>
        <w:rPr>
          <w:rFonts w:asciiTheme="majorHAnsi" w:hAnsiTheme="majorHAnsi" w:cstheme="majorHAnsi"/>
          <w:sz w:val="20"/>
          <w:szCs w:val="20"/>
        </w:rPr>
      </w:pPr>
    </w:p>
    <w:p w14:paraId="6D883E8F" w14:textId="08FCE3D2" w:rsidR="00145A41" w:rsidRPr="00145A41" w:rsidRDefault="00145A41">
      <w:pPr>
        <w:rPr>
          <w:rFonts w:asciiTheme="majorHAnsi" w:hAnsiTheme="majorHAnsi" w:cstheme="majorHAnsi"/>
          <w:b/>
          <w:bCs/>
          <w:color w:val="4472C4" w:themeColor="accent1"/>
          <w:sz w:val="24"/>
          <w:szCs w:val="24"/>
        </w:rPr>
      </w:pPr>
      <w:r w:rsidRPr="00145A41">
        <w:rPr>
          <w:rFonts w:asciiTheme="majorHAnsi" w:hAnsiTheme="majorHAnsi" w:cstheme="majorHAnsi"/>
          <w:b/>
          <w:bCs/>
          <w:color w:val="4472C4" w:themeColor="accent1"/>
          <w:sz w:val="24"/>
          <w:szCs w:val="24"/>
        </w:rPr>
        <w:t>REVISED AUGUST 2025</w:t>
      </w:r>
    </w:p>
    <w:sectPr w:rsidR="00145A41" w:rsidRPr="00145A41" w:rsidSect="00145A41">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E8135" w14:textId="77777777" w:rsidR="00145A41" w:rsidRDefault="00145A41" w:rsidP="00145A41">
      <w:pPr>
        <w:spacing w:after="0" w:line="240" w:lineRule="auto"/>
      </w:pPr>
      <w:r>
        <w:separator/>
      </w:r>
    </w:p>
  </w:endnote>
  <w:endnote w:type="continuationSeparator" w:id="0">
    <w:p w14:paraId="6BB4CF59" w14:textId="77777777" w:rsidR="00145A41" w:rsidRDefault="00145A41" w:rsidP="00145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BD161" w14:textId="77777777" w:rsidR="00145A41" w:rsidRDefault="00145A41" w:rsidP="00145A41">
      <w:pPr>
        <w:spacing w:after="0" w:line="240" w:lineRule="auto"/>
      </w:pPr>
      <w:r>
        <w:separator/>
      </w:r>
    </w:p>
  </w:footnote>
  <w:footnote w:type="continuationSeparator" w:id="0">
    <w:p w14:paraId="68EED07D" w14:textId="77777777" w:rsidR="00145A41" w:rsidRDefault="00145A41" w:rsidP="00145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278130"/>
      <w:docPartObj>
        <w:docPartGallery w:val="Page Numbers (Top of Page)"/>
        <w:docPartUnique/>
      </w:docPartObj>
    </w:sdtPr>
    <w:sdtEndPr>
      <w:rPr>
        <w:color w:val="7F7F7F" w:themeColor="background1" w:themeShade="7F"/>
        <w:spacing w:val="60"/>
      </w:rPr>
    </w:sdtEndPr>
    <w:sdtContent>
      <w:p w14:paraId="02639BB5" w14:textId="6F04B44E" w:rsidR="00145A41" w:rsidRDefault="00145A4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0132942" w14:textId="77777777" w:rsidR="00145A41" w:rsidRDefault="00145A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41"/>
    <w:rsid w:val="00145A41"/>
    <w:rsid w:val="001B7B45"/>
    <w:rsid w:val="00231EB8"/>
    <w:rsid w:val="00711ABF"/>
    <w:rsid w:val="00742106"/>
    <w:rsid w:val="00951092"/>
    <w:rsid w:val="00CD2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2335C"/>
  <w15:chartTrackingRefBased/>
  <w15:docId w15:val="{D91D0D30-4D8D-4C07-A5B0-95148BCF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5A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5A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5A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5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A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A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5A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5A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5A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5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A41"/>
    <w:rPr>
      <w:rFonts w:eastAsiaTheme="majorEastAsia" w:cstheme="majorBidi"/>
      <w:color w:val="272727" w:themeColor="text1" w:themeTint="D8"/>
    </w:rPr>
  </w:style>
  <w:style w:type="paragraph" w:styleId="Title">
    <w:name w:val="Title"/>
    <w:basedOn w:val="Normal"/>
    <w:next w:val="Normal"/>
    <w:link w:val="TitleChar"/>
    <w:uiPriority w:val="10"/>
    <w:qFormat/>
    <w:rsid w:val="00145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A41"/>
    <w:pPr>
      <w:spacing w:before="160"/>
      <w:jc w:val="center"/>
    </w:pPr>
    <w:rPr>
      <w:i/>
      <w:iCs/>
      <w:color w:val="404040" w:themeColor="text1" w:themeTint="BF"/>
    </w:rPr>
  </w:style>
  <w:style w:type="character" w:customStyle="1" w:styleId="QuoteChar">
    <w:name w:val="Quote Char"/>
    <w:basedOn w:val="DefaultParagraphFont"/>
    <w:link w:val="Quote"/>
    <w:uiPriority w:val="29"/>
    <w:rsid w:val="00145A41"/>
    <w:rPr>
      <w:i/>
      <w:iCs/>
      <w:color w:val="404040" w:themeColor="text1" w:themeTint="BF"/>
    </w:rPr>
  </w:style>
  <w:style w:type="paragraph" w:styleId="ListParagraph">
    <w:name w:val="List Paragraph"/>
    <w:basedOn w:val="Normal"/>
    <w:uiPriority w:val="34"/>
    <w:qFormat/>
    <w:rsid w:val="00145A41"/>
    <w:pPr>
      <w:ind w:left="720"/>
      <w:contextualSpacing/>
    </w:pPr>
  </w:style>
  <w:style w:type="character" w:styleId="IntenseEmphasis">
    <w:name w:val="Intense Emphasis"/>
    <w:basedOn w:val="DefaultParagraphFont"/>
    <w:uiPriority w:val="21"/>
    <w:qFormat/>
    <w:rsid w:val="00145A41"/>
    <w:rPr>
      <w:i/>
      <w:iCs/>
      <w:color w:val="2F5496" w:themeColor="accent1" w:themeShade="BF"/>
    </w:rPr>
  </w:style>
  <w:style w:type="paragraph" w:styleId="IntenseQuote">
    <w:name w:val="Intense Quote"/>
    <w:basedOn w:val="Normal"/>
    <w:next w:val="Normal"/>
    <w:link w:val="IntenseQuoteChar"/>
    <w:uiPriority w:val="30"/>
    <w:qFormat/>
    <w:rsid w:val="00145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5A41"/>
    <w:rPr>
      <w:i/>
      <w:iCs/>
      <w:color w:val="2F5496" w:themeColor="accent1" w:themeShade="BF"/>
    </w:rPr>
  </w:style>
  <w:style w:type="character" w:styleId="IntenseReference">
    <w:name w:val="Intense Reference"/>
    <w:basedOn w:val="DefaultParagraphFont"/>
    <w:uiPriority w:val="32"/>
    <w:qFormat/>
    <w:rsid w:val="00145A41"/>
    <w:rPr>
      <w:b/>
      <w:bCs/>
      <w:smallCaps/>
      <w:color w:val="2F5496" w:themeColor="accent1" w:themeShade="BF"/>
      <w:spacing w:val="5"/>
    </w:rPr>
  </w:style>
  <w:style w:type="paragraph" w:styleId="Header">
    <w:name w:val="header"/>
    <w:basedOn w:val="Normal"/>
    <w:link w:val="HeaderChar"/>
    <w:uiPriority w:val="99"/>
    <w:unhideWhenUsed/>
    <w:rsid w:val="00145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A41"/>
  </w:style>
  <w:style w:type="paragraph" w:styleId="Footer">
    <w:name w:val="footer"/>
    <w:basedOn w:val="Normal"/>
    <w:link w:val="FooterChar"/>
    <w:uiPriority w:val="99"/>
    <w:unhideWhenUsed/>
    <w:rsid w:val="00145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Terrington Parish Council</dc:creator>
  <cp:keywords/>
  <dc:description/>
  <cp:lastModifiedBy>Terrington Parish Council</cp:lastModifiedBy>
  <cp:revision>2</cp:revision>
  <dcterms:created xsi:type="dcterms:W3CDTF">2025-09-23T11:40:00Z</dcterms:created>
  <dcterms:modified xsi:type="dcterms:W3CDTF">2025-09-23T11:40:00Z</dcterms:modified>
</cp:coreProperties>
</file>